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REPETAT</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4D1D2A"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lang w:val="ro-MD" w:eastAsia="ru-RU"/>
        </w:rPr>
        <w:t>0</w:t>
      </w:r>
      <w:r w:rsidR="007D1120">
        <w:rPr>
          <w:rFonts w:ascii="Times New Roman" w:eastAsia="Times New Roman" w:hAnsi="Times New Roman" w:cs="Times New Roman"/>
          <w:b/>
          <w:sz w:val="23"/>
          <w:szCs w:val="23"/>
          <w:lang w:val="ro-MD" w:eastAsia="ru-RU"/>
        </w:rPr>
        <w:t>7</w:t>
      </w:r>
      <w:r>
        <w:rPr>
          <w:rFonts w:ascii="Times New Roman" w:eastAsia="Times New Roman" w:hAnsi="Times New Roman" w:cs="Times New Roman"/>
          <w:b/>
          <w:sz w:val="23"/>
          <w:szCs w:val="23"/>
          <w:lang w:val="ro-MD" w:eastAsia="ru-RU"/>
        </w:rPr>
        <w:t>.08.</w:t>
      </w:r>
      <w:r w:rsidR="008F0FDA" w:rsidRPr="000B523C">
        <w:rPr>
          <w:rFonts w:ascii="Times New Roman" w:eastAsia="Times New Roman" w:hAnsi="Times New Roman" w:cs="Times New Roman"/>
          <w:b/>
          <w:sz w:val="23"/>
          <w:szCs w:val="23"/>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40EF4" w:rsidRPr="006C6C7D" w:rsidRDefault="0050556B" w:rsidP="004D1D2A">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4D1D2A" w:rsidRPr="004D1D2A">
        <w:rPr>
          <w:rFonts w:ascii="Times New Roman" w:hAnsi="Times New Roman" w:cs="Times New Roman"/>
          <w:b/>
          <w:color w:val="000000"/>
          <w:sz w:val="23"/>
          <w:szCs w:val="23"/>
          <w:u w:val="single"/>
        </w:rPr>
        <w:t>Chișinău – Bruxelles (Belgia) – Chișinău, 10-13 septembrie 2025</w:t>
      </w:r>
      <w:r w:rsidR="006C6C7D" w:rsidRPr="006C6C7D">
        <w:rPr>
          <w:rFonts w:ascii="Times New Roman" w:hAnsi="Times New Roman" w:cs="Times New Roman"/>
          <w:b/>
          <w:color w:val="000000"/>
          <w:u w:val="single"/>
        </w:rPr>
        <w:t xml:space="preserve">; </w:t>
      </w:r>
    </w:p>
    <w:p w:rsidR="00046D70" w:rsidRDefault="0050556B" w:rsidP="004D1D2A">
      <w:pPr>
        <w:pStyle w:val="ListParagraph"/>
        <w:ind w:left="0" w:firstLine="567"/>
        <w:jc w:val="both"/>
        <w:rPr>
          <w:rFonts w:ascii="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 xml:space="preserve">Destinația TUR: </w:t>
      </w:r>
      <w:r w:rsidR="004D1D2A" w:rsidRPr="004D1D2A">
        <w:rPr>
          <w:rFonts w:ascii="Times New Roman" w:hAnsi="Times New Roman" w:cs="Times New Roman"/>
          <w:b/>
          <w:color w:val="000000"/>
          <w:sz w:val="23"/>
          <w:szCs w:val="23"/>
          <w:u w:val="single"/>
        </w:rPr>
        <w:t>Chișinău – Bruxelles, 10 septembrie 2025 (decolare după ora 8:00, aterizare până la ora 22:00, aceiași zi);</w:t>
      </w:r>
    </w:p>
    <w:p w:rsidR="00802D57" w:rsidRPr="00802D57" w:rsidRDefault="004D1D2A" w:rsidP="00802D57">
      <w:pPr>
        <w:pStyle w:val="ListParagraph"/>
        <w:ind w:left="0" w:firstLine="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00802D57" w:rsidRPr="00802D57">
        <w:rPr>
          <w:rFonts w:ascii="Times New Roman" w:eastAsia="Times New Roman" w:hAnsi="Times New Roman" w:cs="Times New Roman"/>
          <w:b/>
          <w:color w:val="000000"/>
          <w:sz w:val="20"/>
          <w:szCs w:val="20"/>
          <w:u w:val="single"/>
        </w:rPr>
        <w:t xml:space="preserve"> </w:t>
      </w:r>
      <w:r w:rsidR="00802D57" w:rsidRPr="00802D57">
        <w:rPr>
          <w:rFonts w:ascii="Times New Roman" w:hAnsi="Times New Roman" w:cs="Times New Roman"/>
          <w:b/>
          <w:color w:val="000000"/>
          <w:sz w:val="23"/>
          <w:szCs w:val="23"/>
          <w:u w:val="single"/>
        </w:rPr>
        <w:t>sau 1(una) escală (minim 2.00 maxim 5.00 ore);</w:t>
      </w:r>
      <w:r w:rsidR="00802D57" w:rsidRPr="00802D57">
        <w:rPr>
          <w:rFonts w:ascii="Times New Roman" w:hAnsi="Times New Roman" w:cs="Times New Roman"/>
          <w:b/>
          <w:color w:val="000000"/>
          <w:sz w:val="23"/>
          <w:szCs w:val="23"/>
          <w:u w:val="single"/>
          <w:lang w:val="en-US"/>
        </w:rPr>
        <w:t xml:space="preserve"> </w:t>
      </w:r>
    </w:p>
    <w:p w:rsidR="004D1D2A" w:rsidRPr="004D1D2A" w:rsidRDefault="0050556B" w:rsidP="004D1D2A">
      <w:pPr>
        <w:pStyle w:val="ListParagraph"/>
        <w:ind w:left="0" w:firstLine="567"/>
        <w:jc w:val="both"/>
        <w:rPr>
          <w:rFonts w:ascii="Times New Roman" w:eastAsia="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Destinația RETUR</w:t>
      </w:r>
      <w:r w:rsidR="00BF7AA2" w:rsidRPr="006C6C7D">
        <w:rPr>
          <w:rFonts w:ascii="Times New Roman" w:eastAsia="Times New Roman" w:hAnsi="Times New Roman" w:cs="Times New Roman"/>
          <w:color w:val="000000"/>
          <w:sz w:val="23"/>
          <w:szCs w:val="23"/>
          <w:lang w:val="ro-MD"/>
        </w:rPr>
        <w:t>:</w:t>
      </w:r>
      <w:r w:rsidR="00463675" w:rsidRPr="006C6C7D">
        <w:rPr>
          <w:rFonts w:ascii="Times New Roman" w:eastAsia="Times New Roman" w:hAnsi="Times New Roman" w:cs="Times New Roman"/>
          <w:b/>
          <w:color w:val="000000"/>
          <w:sz w:val="20"/>
          <w:szCs w:val="20"/>
          <w:u w:val="single"/>
        </w:rPr>
        <w:t xml:space="preserve"> </w:t>
      </w:r>
      <w:r w:rsidR="004D1D2A" w:rsidRPr="004D1D2A">
        <w:rPr>
          <w:rFonts w:ascii="Times New Roman" w:eastAsia="Times New Roman" w:hAnsi="Times New Roman" w:cs="Times New Roman"/>
          <w:b/>
          <w:color w:val="000000"/>
          <w:sz w:val="23"/>
          <w:szCs w:val="23"/>
          <w:u w:val="single"/>
        </w:rPr>
        <w:t>Bruxelles – Chișinău, 13 septembrie 2025 (decolare după ora 8:00, aterizare până la ora 22:00, aceiași zi);</w:t>
      </w:r>
    </w:p>
    <w:p w:rsidR="004D1D2A" w:rsidRPr="004D1D2A" w:rsidRDefault="004D1D2A" w:rsidP="004D1D2A">
      <w:pPr>
        <w:pStyle w:val="ListParagraph"/>
        <w:spacing w:after="0" w:line="240" w:lineRule="auto"/>
        <w:ind w:left="567"/>
        <w:jc w:val="both"/>
        <w:rPr>
          <w:rFonts w:ascii="Times New Roman" w:eastAsia="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eastAsia="Times New Roman" w:hAnsi="Times New Roman" w:cs="Times New Roman"/>
          <w:b/>
          <w:color w:val="000000"/>
          <w:sz w:val="23"/>
          <w:szCs w:val="23"/>
        </w:rPr>
        <w:t xml:space="preserve"> </w:t>
      </w:r>
      <w:r w:rsidRPr="004D1D2A">
        <w:rPr>
          <w:rFonts w:ascii="Times New Roman" w:eastAsia="Times New Roman" w:hAnsi="Times New Roman" w:cs="Times New Roman"/>
          <w:b/>
          <w:color w:val="000000"/>
          <w:sz w:val="23"/>
          <w:szCs w:val="23"/>
          <w:u w:val="single"/>
        </w:rPr>
        <w:t>DIRECT sau 1(una) escala (minim 2.00 maxim 5.00 ore);</w:t>
      </w:r>
    </w:p>
    <w:p w:rsidR="0050556B" w:rsidRPr="006C6C7D" w:rsidRDefault="0050556B" w:rsidP="004D1D2A">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4D1D2A">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896860">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Numărul persoanelor: </w:t>
      </w:r>
      <w:r w:rsidR="00C34F64">
        <w:rPr>
          <w:rFonts w:ascii="Times New Roman" w:eastAsia="Times New Roman" w:hAnsi="Times New Roman" w:cs="Times New Roman"/>
          <w:b/>
          <w:color w:val="000000"/>
          <w:sz w:val="23"/>
          <w:szCs w:val="23"/>
          <w:u w:val="single"/>
          <w:lang w:val="ro-MD"/>
        </w:rPr>
        <w:t>1</w:t>
      </w:r>
      <w:r w:rsidR="00ED2D1B" w:rsidRPr="006C6C7D">
        <w:rPr>
          <w:rFonts w:ascii="Times New Roman" w:eastAsia="Times New Roman" w:hAnsi="Times New Roman" w:cs="Times New Roman"/>
          <w:b/>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w:t>
      </w:r>
      <w:r w:rsidR="00C34F64">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C34F64">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w:t>
      </w:r>
      <w:bookmarkStart w:id="1" w:name="_GoBack"/>
      <w:bookmarkEnd w:id="1"/>
      <w:r w:rsidRPr="006007E6">
        <w:rPr>
          <w:rFonts w:ascii="Times New Roman" w:hAnsi="Times New Roman" w:cs="Times New Roman"/>
          <w:sz w:val="23"/>
          <w:szCs w:val="23"/>
          <w:lang w:val="ro-MD"/>
        </w:rPr>
        <w:t xml:space="preserve">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4D1D2A">
        <w:rPr>
          <w:rFonts w:ascii="Times New Roman" w:hAnsi="Times New Roman" w:cs="Times New Roman"/>
          <w:b/>
          <w:sz w:val="23"/>
          <w:szCs w:val="23"/>
          <w:highlight w:val="yellow"/>
          <w:u w:val="single"/>
          <w:lang w:val="ro-MD"/>
        </w:rPr>
        <w:t>0</w:t>
      </w:r>
      <w:r w:rsidR="007D1120">
        <w:rPr>
          <w:rFonts w:ascii="Times New Roman" w:hAnsi="Times New Roman" w:cs="Times New Roman"/>
          <w:b/>
          <w:sz w:val="23"/>
          <w:szCs w:val="23"/>
          <w:highlight w:val="yellow"/>
          <w:u w:val="single"/>
          <w:lang w:val="ro-MD"/>
        </w:rPr>
        <w:t>7</w:t>
      </w:r>
      <w:r w:rsidR="004D1D2A">
        <w:rPr>
          <w:rFonts w:ascii="Times New Roman" w:hAnsi="Times New Roman" w:cs="Times New Roman"/>
          <w:b/>
          <w:sz w:val="23"/>
          <w:szCs w:val="23"/>
          <w:highlight w:val="yellow"/>
          <w:u w:val="single"/>
          <w:lang w:val="ro-MD"/>
        </w:rPr>
        <w:t>.08.</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xml:space="preserve">, ora </w:t>
      </w:r>
      <w:r w:rsidR="00802D57">
        <w:rPr>
          <w:rFonts w:ascii="Times New Roman" w:eastAsia="Times New Roman" w:hAnsi="Times New Roman" w:cs="Times New Roman"/>
          <w:b/>
          <w:sz w:val="23"/>
          <w:szCs w:val="23"/>
          <w:highlight w:val="yellow"/>
          <w:u w:val="single"/>
          <w:lang w:val="ro-MD" w:eastAsia="ru-RU"/>
        </w:rPr>
        <w:t>14</w:t>
      </w:r>
      <w:r w:rsidR="00ED7BC3" w:rsidRPr="00046D70">
        <w:rPr>
          <w:rFonts w:ascii="Times New Roman" w:eastAsia="Times New Roman" w:hAnsi="Times New Roman" w:cs="Times New Roman"/>
          <w:b/>
          <w:sz w:val="23"/>
          <w:szCs w:val="23"/>
          <w:highlight w:val="yellow"/>
          <w:u w:val="single"/>
          <w:lang w:val="ro-MD" w:eastAsia="ru-RU"/>
        </w:rPr>
        <w:t>:</w:t>
      </w:r>
      <w:r w:rsidR="00802D57">
        <w:rPr>
          <w:rFonts w:ascii="Times New Roman" w:eastAsia="Times New Roman" w:hAnsi="Times New Roman" w:cs="Times New Roman"/>
          <w:b/>
          <w:sz w:val="23"/>
          <w:szCs w:val="23"/>
          <w:highlight w:val="yellow"/>
          <w:u w:val="single"/>
          <w:lang w:val="ro-MD" w:eastAsia="ru-RU"/>
        </w:rPr>
        <w:t>3</w:t>
      </w:r>
      <w:r w:rsidR="001429FD" w:rsidRPr="00046D70">
        <w:rPr>
          <w:rFonts w:ascii="Times New Roman" w:eastAsia="Times New Roman" w:hAnsi="Times New Roman" w:cs="Times New Roman"/>
          <w:b/>
          <w:sz w:val="23"/>
          <w:szCs w:val="23"/>
          <w:highlight w:val="yellow"/>
          <w:u w:val="single"/>
          <w:lang w:val="ro-MD" w:eastAsia="ru-RU"/>
        </w:rPr>
        <w:t>0</w:t>
      </w:r>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63674"/>
    <w:rsid w:val="00084611"/>
    <w:rsid w:val="00097725"/>
    <w:rsid w:val="000B17D8"/>
    <w:rsid w:val="000B1EB8"/>
    <w:rsid w:val="000B351E"/>
    <w:rsid w:val="000B523C"/>
    <w:rsid w:val="00120904"/>
    <w:rsid w:val="00122C40"/>
    <w:rsid w:val="00135C6A"/>
    <w:rsid w:val="00141EFE"/>
    <w:rsid w:val="001429FD"/>
    <w:rsid w:val="00171C3F"/>
    <w:rsid w:val="00182299"/>
    <w:rsid w:val="001E2EB5"/>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47F9B"/>
    <w:rsid w:val="0057553F"/>
    <w:rsid w:val="005B120D"/>
    <w:rsid w:val="005E3452"/>
    <w:rsid w:val="006007E6"/>
    <w:rsid w:val="006055F0"/>
    <w:rsid w:val="00614D5E"/>
    <w:rsid w:val="006217B6"/>
    <w:rsid w:val="00637B3D"/>
    <w:rsid w:val="00656274"/>
    <w:rsid w:val="00657A78"/>
    <w:rsid w:val="00677C69"/>
    <w:rsid w:val="006B03D0"/>
    <w:rsid w:val="006C561F"/>
    <w:rsid w:val="006C6C7D"/>
    <w:rsid w:val="006E54A4"/>
    <w:rsid w:val="00707177"/>
    <w:rsid w:val="0070732E"/>
    <w:rsid w:val="00717FA9"/>
    <w:rsid w:val="007347D1"/>
    <w:rsid w:val="0074701E"/>
    <w:rsid w:val="00755247"/>
    <w:rsid w:val="0077022F"/>
    <w:rsid w:val="007915B1"/>
    <w:rsid w:val="007A2224"/>
    <w:rsid w:val="007A4894"/>
    <w:rsid w:val="007B4E67"/>
    <w:rsid w:val="007C01C3"/>
    <w:rsid w:val="007C1DFF"/>
    <w:rsid w:val="007C7430"/>
    <w:rsid w:val="007D1120"/>
    <w:rsid w:val="00802D57"/>
    <w:rsid w:val="00802ECB"/>
    <w:rsid w:val="0083566F"/>
    <w:rsid w:val="00842B91"/>
    <w:rsid w:val="0089532A"/>
    <w:rsid w:val="0089682C"/>
    <w:rsid w:val="00896860"/>
    <w:rsid w:val="008A0B87"/>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65E8C"/>
    <w:rsid w:val="00B748C9"/>
    <w:rsid w:val="00B93FB8"/>
    <w:rsid w:val="00BB2B79"/>
    <w:rsid w:val="00BD4D1F"/>
    <w:rsid w:val="00BF7AA2"/>
    <w:rsid w:val="00C01B74"/>
    <w:rsid w:val="00C03F63"/>
    <w:rsid w:val="00C34F64"/>
    <w:rsid w:val="00C91DEC"/>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B3E8"/>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17F0-5E8C-479B-B839-2155E362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536</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5</cp:revision>
  <cp:lastPrinted>2025-04-17T05:34:00Z</cp:lastPrinted>
  <dcterms:created xsi:type="dcterms:W3CDTF">2025-06-19T06:27:00Z</dcterms:created>
  <dcterms:modified xsi:type="dcterms:W3CDTF">2025-08-07T10:36:00Z</dcterms:modified>
</cp:coreProperties>
</file>